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CEE" w14:textId="77777777" w:rsidR="00460941" w:rsidRPr="00C86B48" w:rsidRDefault="00460941" w:rsidP="00460941">
      <w:pPr>
        <w:pStyle w:val="Ttulo"/>
        <w:rPr>
          <w:rFonts w:ascii="Times New Roman" w:hAnsi="Times New Roman" w:cs="Times New Roman"/>
          <w:sz w:val="40"/>
          <w:szCs w:val="40"/>
        </w:rPr>
      </w:pPr>
      <w:r w:rsidRPr="00C86B48">
        <w:rPr>
          <w:rFonts w:ascii="Times New Roman" w:hAnsi="Times New Roman" w:cs="Times New Roman"/>
          <w:sz w:val="40"/>
          <w:szCs w:val="40"/>
        </w:rPr>
        <w:t xml:space="preserve">ENUNCIADOS: </w:t>
      </w:r>
    </w:p>
    <w:p w14:paraId="37DB720F" w14:textId="77777777" w:rsidR="00B507A6" w:rsidRDefault="00B507A6" w:rsidP="005361FD">
      <w:pPr>
        <w:spacing w:before="240" w:after="360" w:line="30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8B37CFE" w14:textId="77777777" w:rsidR="00460941" w:rsidRPr="00460941" w:rsidRDefault="00460941" w:rsidP="005361FD">
      <w:pPr>
        <w:spacing w:before="240" w:after="360" w:line="30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AVERBAÇÕES </w:t>
      </w:r>
    </w:p>
    <w:p w14:paraId="18CF0A6C" w14:textId="77777777" w:rsidR="00460941" w:rsidRDefault="00460941" w:rsidP="0046094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1:</w:t>
      </w:r>
      <w:r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averbação da separação ou divórcio, com relação aos bens, deverá constar: "os bens foram partilhados", "não há bens a partilhar", "os bens serão partilhados posteriormente" ou "não há informação sobre partilha de bens". No último caso mencionado, a falta de menção a partilha de bens não é motivo para recusa do título. </w:t>
      </w:r>
    </w:p>
    <w:p w14:paraId="59CF854F" w14:textId="77777777"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Fundamentação:</w:t>
      </w:r>
      <w:r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46F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rt. 676, §1º e art. 678, §2º</w:t>
      </w:r>
      <w:r w:rsidR="00846F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</w:t>
      </w:r>
      <w:r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Provimento 93/CGJ/2020</w:t>
      </w:r>
      <w:r w:rsidR="00B077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93A0AC2" w14:textId="77777777" w:rsidR="00E9552E" w:rsidRDefault="00460941" w:rsidP="00460941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2:</w:t>
      </w:r>
      <w:r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posição do "cumpra-se" </w:t>
      </w:r>
      <w:r w:rsidR="00E9552E"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Juiz Diretor do Foro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somente se revela necessária </w:t>
      </w:r>
      <w:r w:rsid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o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mandado </w:t>
      </w:r>
      <w:r w:rsid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oriundo de jurisdição diversa</w:t>
      </w:r>
      <w:r w:rsidR="0068430F" w:rsidRP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843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determinar 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restauração de assento no Regi</w:t>
      </w:r>
      <w:r w:rsid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stro Civil das Pessoas Naturais.</w:t>
      </w:r>
    </w:p>
    <w:p w14:paraId="12BB6CE7" w14:textId="77777777" w:rsidR="00460941" w:rsidRDefault="00460941" w:rsidP="00E9552E">
      <w:pPr>
        <w:spacing w:after="36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Fundamentação: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DECISÃO CORREGEDORIA/CORREGEDOR/GACOR Nº 27359 / 2022 PROCESSOS SE</w:t>
      </w:r>
      <w:r w:rsid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Nº: 0062013-37.2019.8.13.0000; </w:t>
      </w:r>
      <w:r w:rsidR="00E9552E" w:rsidRPr="00E955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PROCESSOS SEI ANEXOS: 0003171-35.2017.8.13.0000; 0060664-96.2019.8.13.0000; 0007949-48.2017.8.13.0000; 0014843-98.2021.8.13.0000; 0064766-93.2021.8.13.0000; 0078206-59.2021.8.13.0000</w:t>
      </w:r>
      <w:r w:rsidR="00B077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3B4D84C7" w14:textId="77777777" w:rsidR="00460941" w:rsidRP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Averbação da aquisição de nacionalidade originária estrangeira </w:t>
      </w:r>
    </w:p>
    <w:p w14:paraId="27EB9C3D" w14:textId="77777777" w:rsidR="00460941" w:rsidRDefault="00460941" w:rsidP="004609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 w:rsidR="00846F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460941">
        <w:rPr>
          <w:rFonts w:ascii="Times New Roman" w:hAnsi="Times New Roman" w:cs="Times New Roman"/>
          <w:sz w:val="24"/>
          <w:szCs w:val="24"/>
        </w:rPr>
        <w:t>: É admissível a averbação no assento de nascimento, bem como nos registros subsequentes, da aquisição de nacionalidade originária estrangeira, mediante apresentação de documento consular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590C0" w14:textId="77777777" w:rsidR="00460941" w:rsidRP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2C">
        <w:rPr>
          <w:rFonts w:ascii="Times New Roman" w:hAnsi="Times New Roman" w:cs="Times New Roman"/>
          <w:b/>
          <w:sz w:val="24"/>
          <w:szCs w:val="24"/>
        </w:rPr>
        <w:t>Fundamentação:</w:t>
      </w:r>
      <w:r w:rsidR="001F3531" w:rsidRPr="00001F0A">
        <w:rPr>
          <w:rFonts w:ascii="Times New Roman" w:hAnsi="Times New Roman" w:cs="Times New Roman"/>
          <w:sz w:val="24"/>
          <w:szCs w:val="24"/>
        </w:rPr>
        <w:t xml:space="preserve"> Art. 677,</w:t>
      </w:r>
      <w:r w:rsidR="00846F98">
        <w:rPr>
          <w:rFonts w:ascii="Times New Roman" w:hAnsi="Times New Roman" w:cs="Times New Roman"/>
          <w:sz w:val="24"/>
          <w:szCs w:val="24"/>
        </w:rPr>
        <w:t xml:space="preserve"> </w:t>
      </w:r>
      <w:r w:rsidR="001F3531" w:rsidRPr="00001F0A">
        <w:rPr>
          <w:rFonts w:ascii="Times New Roman" w:hAnsi="Times New Roman" w:cs="Times New Roman"/>
          <w:sz w:val="24"/>
          <w:szCs w:val="24"/>
        </w:rPr>
        <w:t xml:space="preserve">II </w:t>
      </w:r>
      <w:r w:rsid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Provimento 93/CGJ/2020 </w:t>
      </w:r>
      <w:r w:rsidR="001F3531" w:rsidRP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1F3531" w:rsidRPr="00001F0A">
        <w:rPr>
          <w:rFonts w:ascii="Times New Roman" w:hAnsi="Times New Roman" w:cs="Times New Roman"/>
          <w:sz w:val="24"/>
          <w:szCs w:val="24"/>
        </w:rPr>
        <w:t xml:space="preserve"> </w:t>
      </w:r>
      <w:r w:rsidRPr="00001F0A">
        <w:rPr>
          <w:rFonts w:ascii="Times New Roman" w:hAnsi="Times New Roman" w:cs="Times New Roman"/>
          <w:sz w:val="24"/>
          <w:szCs w:val="24"/>
        </w:rPr>
        <w:t>Enunciado 4 da I Jornada Direito</w:t>
      </w:r>
      <w:r w:rsidRPr="00460941">
        <w:rPr>
          <w:rFonts w:ascii="Times New Roman" w:hAnsi="Times New Roman" w:cs="Times New Roman"/>
          <w:sz w:val="24"/>
          <w:szCs w:val="24"/>
        </w:rPr>
        <w:t xml:space="preserve"> Notarial e </w:t>
      </w:r>
      <w:proofErr w:type="gramStart"/>
      <w:r w:rsidRPr="00460941">
        <w:rPr>
          <w:rFonts w:ascii="Times New Roman" w:hAnsi="Times New Roman" w:cs="Times New Roman"/>
          <w:sz w:val="24"/>
          <w:szCs w:val="24"/>
        </w:rPr>
        <w:t>Registral</w:t>
      </w:r>
      <w:r w:rsidR="001F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01EDF41" w14:textId="77777777" w:rsidR="00460941" w:rsidRDefault="00460941" w:rsidP="005F79C8">
      <w:pPr>
        <w:spacing w:after="0" w:line="300" w:lineRule="auto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7A1B9" w14:textId="77777777" w:rsidR="00460941" w:rsidRP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941">
        <w:rPr>
          <w:rFonts w:ascii="Times New Roman" w:hAnsi="Times New Roman" w:cs="Times New Roman"/>
          <w:b/>
          <w:sz w:val="24"/>
          <w:szCs w:val="24"/>
          <w:u w:val="single"/>
        </w:rPr>
        <w:t>Averbação de divórcio: Título extrajudicial para averbar a transação referendada pela Defensoria Pública e por conciliador ou mediador</w:t>
      </w:r>
    </w:p>
    <w:p w14:paraId="71B3F944" w14:textId="77777777" w:rsidR="00460941" w:rsidRPr="00460941" w:rsidRDefault="00460941" w:rsidP="004609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41">
        <w:rPr>
          <w:rFonts w:ascii="Times New Roman" w:hAnsi="Times New Roman" w:cs="Times New Roman"/>
          <w:b/>
          <w:sz w:val="24"/>
          <w:szCs w:val="24"/>
        </w:rPr>
        <w:t xml:space="preserve">ENUNCIADO </w:t>
      </w:r>
      <w:r w:rsidR="00846F98">
        <w:rPr>
          <w:rFonts w:ascii="Times New Roman" w:hAnsi="Times New Roman" w:cs="Times New Roman"/>
          <w:b/>
          <w:sz w:val="24"/>
          <w:szCs w:val="24"/>
        </w:rPr>
        <w:t>4</w:t>
      </w:r>
      <w:r w:rsidRPr="00460941">
        <w:rPr>
          <w:rFonts w:ascii="Times New Roman" w:hAnsi="Times New Roman" w:cs="Times New Roman"/>
          <w:sz w:val="24"/>
          <w:szCs w:val="24"/>
        </w:rPr>
        <w:t>:</w:t>
      </w:r>
      <w:r w:rsidRPr="00460941">
        <w:t xml:space="preserve"> </w:t>
      </w:r>
      <w:r w:rsidRPr="00460941">
        <w:rPr>
          <w:rFonts w:ascii="Times New Roman" w:hAnsi="Times New Roman" w:cs="Times New Roman"/>
          <w:sz w:val="24"/>
          <w:szCs w:val="24"/>
        </w:rPr>
        <w:t>Não há previsão no Código de Normas de se averbar o divórcio mediante título extrajudicial referendado pela Defensoria Pública e por conciliador ou mediador.</w:t>
      </w:r>
    </w:p>
    <w:p w14:paraId="206E9559" w14:textId="77777777" w:rsidR="00460941" w:rsidRDefault="00460941" w:rsidP="0046094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2C">
        <w:rPr>
          <w:rFonts w:ascii="Times New Roman" w:hAnsi="Times New Roman" w:cs="Times New Roman"/>
          <w:b/>
          <w:sz w:val="24"/>
          <w:szCs w:val="24"/>
        </w:rPr>
        <w:t>Fundamentação:</w:t>
      </w:r>
      <w:r w:rsidRPr="00460941">
        <w:rPr>
          <w:rFonts w:ascii="Times New Roman" w:hAnsi="Times New Roman" w:cs="Times New Roman"/>
          <w:sz w:val="24"/>
          <w:szCs w:val="24"/>
        </w:rPr>
        <w:t xml:space="preserve"> </w:t>
      </w:r>
      <w:r w:rsidR="00846F98">
        <w:rPr>
          <w:rFonts w:ascii="Times New Roman" w:hAnsi="Times New Roman" w:cs="Times New Roman"/>
          <w:sz w:val="24"/>
          <w:szCs w:val="24"/>
        </w:rPr>
        <w:t>A</w:t>
      </w:r>
      <w:r w:rsidRPr="00460941">
        <w:rPr>
          <w:rFonts w:ascii="Times New Roman" w:hAnsi="Times New Roman" w:cs="Times New Roman"/>
          <w:sz w:val="24"/>
          <w:szCs w:val="24"/>
        </w:rPr>
        <w:t xml:space="preserve">rt. 678, I, </w:t>
      </w:r>
      <w:r w:rsidR="00001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Provimento 93/CGJ/2020</w:t>
      </w:r>
      <w:r w:rsidRPr="00460941">
        <w:rPr>
          <w:rFonts w:ascii="Times New Roman" w:hAnsi="Times New Roman" w:cs="Times New Roman"/>
          <w:sz w:val="24"/>
          <w:szCs w:val="24"/>
        </w:rPr>
        <w:t>, art. 731 e 736 do CPC e Resolução 35 CNJ e Processo nº: 202006000229186 (</w:t>
      </w:r>
      <w:r w:rsidR="009F5238">
        <w:rPr>
          <w:rFonts w:ascii="Times New Roman" w:hAnsi="Times New Roman" w:cs="Times New Roman"/>
          <w:sz w:val="24"/>
          <w:szCs w:val="24"/>
        </w:rPr>
        <w:t>CNJ 0008657-23.2021.2.00.0000</w:t>
      </w:r>
      <w:r w:rsidR="00B0772C">
        <w:rPr>
          <w:rFonts w:ascii="Times New Roman" w:hAnsi="Times New Roman" w:cs="Times New Roman"/>
          <w:sz w:val="24"/>
          <w:szCs w:val="24"/>
        </w:rPr>
        <w:t>)</w:t>
      </w:r>
      <w:r w:rsidR="009F5238">
        <w:rPr>
          <w:rFonts w:ascii="Times New Roman" w:hAnsi="Times New Roman" w:cs="Times New Roman"/>
          <w:sz w:val="24"/>
          <w:szCs w:val="24"/>
        </w:rPr>
        <w:t>.</w:t>
      </w:r>
    </w:p>
    <w:p w14:paraId="4D6443AF" w14:textId="77777777" w:rsidR="00DE1AD4" w:rsidRPr="00D5764F" w:rsidRDefault="00DE1AD4" w:rsidP="00DE1AD4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Entendimento firmado a partir do dia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>/11/202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 xml:space="preserve"> pela Comissão de Enunciados.</w:t>
      </w:r>
    </w:p>
    <w:p w14:paraId="1A856DF0" w14:textId="77777777" w:rsidR="00DE1AD4" w:rsidRPr="00460941" w:rsidRDefault="00DE1AD4" w:rsidP="0046094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7501B" w14:textId="77777777" w:rsidR="00460941" w:rsidRPr="00460941" w:rsidRDefault="00460941" w:rsidP="00460941">
      <w:pPr>
        <w:spacing w:after="360" w:line="30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RECONHECIMENTO DE FILHO</w:t>
      </w:r>
    </w:p>
    <w:p w14:paraId="5E28CCF6" w14:textId="77777777" w:rsidR="00460941" w:rsidRDefault="00460941" w:rsidP="0046094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1: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reconhecimento de filho, se os comparecentes não portarem documento de identificação, não poderá ser feita a averbação. </w:t>
      </w:r>
    </w:p>
    <w:p w14:paraId="5E4BD933" w14:textId="77777777" w:rsidR="00460941" w:rsidRPr="00460941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ocumentos necessários relacionados no Provimento nº 1</w:t>
      </w:r>
      <w:r w:rsidR="00D40F80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CNJ e segurança jurídica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ED85F95" w14:textId="77777777"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2: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 Qualquer que seja o título apresentado para o reconhecimento de filho (por exemplo, instrumento particular, instrumento lavrado nos termos do Provimento CNJ 16/2012, escritura pública, título judicial, testamento) a averbação será lavrada independentemente de manifestação do Ministério Público ou decisão judicial, mas dependerá de anuência escrita do filho maior ou, se menor, da mãe.</w:t>
      </w:r>
    </w:p>
    <w:p w14:paraId="6DD799BD" w14:textId="77777777"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3: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reconhecimento de filho na ata do casamento dos pais, sem registro no Livro A, será feito o procedimento de registro tardio de nascimento, no livro corrente, de acordo com o Provimento 28 do CNJ.</w:t>
      </w:r>
    </w:p>
    <w:p w14:paraId="0331D3DC" w14:textId="77777777" w:rsidR="00460941" w:rsidRPr="00460941" w:rsidRDefault="0046094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4: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ANUÊNCIA DA MÃE RELATIVAMENTE INCAPAZ (16 - 17 ANOS) NO RECONHECIMENTO DE PATERNIDADE BIOLÓGICO - A mãe relativamente incapaz (16-17 anos) poderá anuir com o reconhecimento de paternidade na forma do §2º, do art. 7º, do Provimento 16/CNJ, não havendo necessidade de autorização judicial.</w:t>
      </w:r>
    </w:p>
    <w:p w14:paraId="29995D7D" w14:textId="77777777" w:rsidR="00460941" w:rsidRPr="00460941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Prov. 16 CNJ, art. 6º, § 4º que estabelece que o relativamente incapaz pode reconhecer filho. Se pode reconhecer, pode anuir com o reconhec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imento. Art. 535, § 1º do CN/MG.</w:t>
      </w:r>
    </w:p>
    <w:p w14:paraId="7BA45196" w14:textId="77777777" w:rsidR="00460941" w:rsidRPr="00460941" w:rsidRDefault="0046094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DADBC7" w14:textId="77777777" w:rsidR="00460941" w:rsidRDefault="0046094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ANUÊNCIA D</w:t>
      </w:r>
      <w:r w:rsidR="00371439">
        <w:rPr>
          <w:rFonts w:ascii="Times New Roman" w:eastAsia="Times New Roman" w:hAnsi="Times New Roman" w:cs="Times New Roman"/>
          <w:sz w:val="24"/>
          <w:szCs w:val="24"/>
          <w:lang w:eastAsia="pt-BR"/>
        </w:rPr>
        <w:t>OS GENITORES NO REC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ONHECIMENTO DE PATERNIDADE SOCIOAFETIVO - Se o filho for menor de 18 (dezoito) anos, deverá ocorrer a coleta da anuência da mãe e do pai registrais, se vivos. Se um deles já tiver falecido, basta a anuência do genitor vivo, dispensada a necessidade de autorização judicial. É obrigatório apresentar a certidão de óbito do genitor falecido, que será arquivada.</w:t>
      </w:r>
    </w:p>
    <w:p w14:paraId="0C2E5DE7" w14:textId="77777777" w:rsidR="00073EDD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D51D04" w14:textId="77777777" w:rsidR="003B1636" w:rsidRDefault="00F72C61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.1</w:t>
      </w: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Quando os dois </w:t>
      </w:r>
      <w:r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genitores </w:t>
      </w:r>
      <w:r w:rsidR="00D40F80"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do menor, </w:t>
      </w:r>
      <w:r w:rsidR="00D40F80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12-18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anos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incompletos</w:t>
      </w:r>
      <w:r w:rsidR="00D40F80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D40F80"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forem 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</w:t>
      </w:r>
      <w:r w:rsidR="005955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lecidos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deverá </w:t>
      </w:r>
      <w:r w:rsid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procedimento 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 encaminhado para autorização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F72C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juiz</w:t>
      </w:r>
      <w:r w:rsid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competente (Vara de Registros Públicos ou se não houver Vara Cível)</w:t>
      </w:r>
      <w:r w:rsidR="003B163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14:paraId="2FC701D7" w14:textId="77777777" w:rsidR="00CF2495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CNJ, 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11, §6.</w:t>
      </w:r>
    </w:p>
    <w:p w14:paraId="009E515A" w14:textId="77777777" w:rsidR="00073EDD" w:rsidRPr="00460941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A39EAB" w14:textId="77777777" w:rsidR="00F72C61" w:rsidRPr="00CF2495" w:rsidRDefault="003B1636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.2: </w:t>
      </w:r>
      <w:r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 o filho for menor de 12 anos não poderá </w:t>
      </w:r>
      <w:r w:rsidR="00CF2495"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 feita de forma administrativa o procedimento para reconhecimento socioafetivo. </w:t>
      </w:r>
      <w:r w:rsidRPr="00CF24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240AF013" w14:textId="77777777" w:rsidR="00CF2495" w:rsidRPr="00460941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CNJ, 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10.</w:t>
      </w:r>
    </w:p>
    <w:p w14:paraId="52A8C1B2" w14:textId="77777777" w:rsidR="00CF2495" w:rsidRDefault="00CF249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1BBDBB" w14:textId="77777777" w:rsidR="005955C5" w:rsidRDefault="005955C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.3: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o filho a ser reconhecido for menor, 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12-18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anos</w:t>
      </w:r>
      <w:r w:rsid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incompletos</w:t>
      </w:r>
      <w:r w:rsidR="00381D0F"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81D0F" w:rsidRPr="00381D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será necessári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81D0F">
        <w:rPr>
          <w:rFonts w:ascii="Times New Roman" w:eastAsia="Times New Roman" w:hAnsi="Times New Roman" w:cs="Times New Roman"/>
          <w:sz w:val="24"/>
          <w:szCs w:val="24"/>
          <w:lang w:eastAsia="pt-BR"/>
        </w:rPr>
        <w:t>: manifestação dos pais, anuência do reconhecido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Ministério Público. </w:t>
      </w:r>
    </w:p>
    <w:p w14:paraId="564A7045" w14:textId="77777777" w:rsidR="00CF2495" w:rsidRPr="00460941" w:rsidRDefault="00B0772C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="00CF2495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CNJ, art. </w:t>
      </w:r>
      <w:r w:rsidR="00CF2495">
        <w:rPr>
          <w:rFonts w:ascii="Times New Roman" w:eastAsia="Times New Roman" w:hAnsi="Times New Roman" w:cs="Times New Roman"/>
          <w:sz w:val="24"/>
          <w:szCs w:val="24"/>
          <w:lang w:eastAsia="pt-BR"/>
        </w:rPr>
        <w:t>11, §9, I.</w:t>
      </w:r>
    </w:p>
    <w:p w14:paraId="00C1EFE5" w14:textId="77777777" w:rsidR="00CF2495" w:rsidRDefault="00CF249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1CDC17" w14:textId="77777777" w:rsidR="00073EDD" w:rsidRPr="00073EDD" w:rsidRDefault="005955C5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ENUNCIADO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.3.1: </w:t>
      </w:r>
      <w:r w:rsidR="00381D0F" w:rsidRPr="00381D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Poderá</w:t>
      </w:r>
      <w:r w:rsidR="00073EDD" w:rsidRPr="00073E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 encaminhado o procedimento ao MP do Oficial que recebeu o pedido de forma presencial, uma vez que será mais fácil a complementação da documentação, se isso vier a ser exigido. Não há, no entanto, regra expressa na lei, de modo que a definição de qual MP emitirá parecer poderá ser ajustada entre os Oficiais.</w:t>
      </w:r>
    </w:p>
    <w:p w14:paraId="0D34252B" w14:textId="77777777" w:rsidR="00073EDD" w:rsidRDefault="00B0772C" w:rsidP="0091333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- Registro Civil das Pessoas N</w:t>
      </w:r>
      <w:r w:rsidR="00913335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aturais, </w:t>
      </w:r>
      <w:r w:rsid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913335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 </w:t>
      </w:r>
      <w:hyperlink r:id="rId6" w:history="1"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Mario Carvalho Camargo de Neto</w:t>
        </w:r>
      </w:hyperlink>
      <w:r w:rsidR="00913335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hyperlink r:id="rId7" w:history="1"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Marcelo </w:t>
        </w:r>
        <w:proofErr w:type="spellStart"/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Salaroli</w:t>
        </w:r>
        <w:proofErr w:type="spellEnd"/>
        <w:r w:rsidR="00913335" w:rsidRPr="0091333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de Oliveira</w:t>
        </w:r>
      </w:hyperlink>
      <w:r w:rsidR="00073EDD" w:rsidRPr="0091333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4829430" w14:textId="77777777" w:rsidR="00073EDD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7BC20D" w14:textId="77777777" w:rsidR="00073EDD" w:rsidRPr="00073EDD" w:rsidRDefault="00073EDD" w:rsidP="00073ED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 reconhecimento de filho maior de 18 anos, não é necessária anuência dos </w:t>
      </w:r>
      <w:r w:rsidR="0002543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genitores registrais nem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parecer do MP. </w:t>
      </w:r>
    </w:p>
    <w:p w14:paraId="66D04F4A" w14:textId="77777777" w:rsidR="008E3FA9" w:rsidRPr="00FD4B93" w:rsidRDefault="00B0772C" w:rsidP="008E3FA9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8E3FA9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D4B93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Enunciado 121 da II Jornada da Justiça Federal na Prevenção e Solução Extrajudicial de Litígio; Provimento 83/2019 do CNJ, em seus “</w:t>
      </w:r>
      <w:proofErr w:type="spellStart"/>
      <w:r w:rsidR="00FD4B93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Considerandos</w:t>
      </w:r>
      <w:proofErr w:type="spellEnd"/>
      <w:r w:rsidR="00FD4B93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”</w:t>
      </w:r>
      <w:r w:rsidR="009B59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  <w:r w:rsidR="00FF265B" w:rsidRPr="00FF265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DESPACHO CORREGEDORIA/JUIZ AUX. CGJ - PLAN./DIRCOR/GENOT - ASSESSORIA Nº 7985267 / 2022 Autos nº: 0091935-21.2022.8.13.0000</w:t>
      </w:r>
      <w:r w:rsidR="008E3FA9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25436" w:rsidRPr="00FD4B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607EB4E1" w14:textId="77777777" w:rsidR="00846F98" w:rsidRDefault="00846F98" w:rsidP="00846F9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7EE0443" w14:textId="77777777" w:rsidR="00460941" w:rsidRPr="00460941" w:rsidRDefault="00460941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 w:rsidR="00001F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RECONHECIMENTO DE PATERNIDADE BIOLÓGICO OU SOCIOAFETIVO VIA E-PROTOCOLO E APRESENTAÇÃO DE CERTIDÃO ATUALIZADA - Quando o registro de nascimento não for da serventia que recebe a documentação prevista nos Provimentos 16 e 63/</w:t>
      </w:r>
      <w:r w:rsidRPr="0038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CNJ, deverá ser </w:t>
      </w:r>
      <w:r w:rsidRPr="00381D0F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apresentada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certidão de nascimento atualizada da pessoa a ser reconhecida, a fim de que sejam observadas as anuências exigidas nos respectivos provimentos.</w:t>
      </w:r>
    </w:p>
    <w:p w14:paraId="01266718" w14:textId="77777777" w:rsidR="00460941" w:rsidRPr="00460941" w:rsidRDefault="00460941" w:rsidP="0046094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41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ENUNCIADO </w:t>
      </w:r>
      <w:r w:rsidR="00001F0A">
        <w:rPr>
          <w:rFonts w:ascii="Times" w:eastAsia="Times New Roman" w:hAnsi="Times" w:cstheme="minorHAnsi"/>
          <w:b/>
          <w:sz w:val="24"/>
          <w:szCs w:val="24"/>
          <w:lang w:eastAsia="pt-BR"/>
        </w:rPr>
        <w:t>8</w:t>
      </w:r>
      <w:r w:rsidRPr="00460941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: 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>No reconhecimento de paternidade ou maternidade biológico ou socioafetivo, pode ser acrescido o sobrenome do novo genitor, podendo também ser excluído um ou alguns dos sobrenomes da pessoa reconhecida, desde que seja mantido pelo menos um sobrenome de cada um dos genitores registrais.</w:t>
      </w:r>
    </w:p>
    <w:p w14:paraId="394DB4CC" w14:textId="77777777" w:rsidR="00460941" w:rsidRPr="00460941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426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r w:rsidR="00460941"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rt. 16, do Código Civil de 2.002, </w:t>
      </w:r>
      <w:r w:rsidR="00426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55 da Lei 6015, </w:t>
      </w:r>
      <w:r w:rsidR="00FF265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art.57, IV da Lei 6015/73</w:t>
      </w:r>
      <w:r w:rsidR="004265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art.586 parágrafo único do Provimento 93/2020</w:t>
      </w:r>
      <w:r w:rsidR="00460941" w:rsidRPr="00460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51DCEF9" w14:textId="77777777" w:rsidR="00846F98" w:rsidRDefault="00460941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ENUNCIADO </w:t>
      </w:r>
      <w:r w:rsidR="00001F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existência de pai registral não impede que o pai biológico reconheça a </w:t>
      </w:r>
      <w:r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paternidade, na forma do Provimento nº 16/CNJ, devendo, para tanto</w:t>
      </w:r>
      <w:r w:rsidR="00D40F80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ser apresentado exame de DNA, </w:t>
      </w:r>
      <w:r w:rsidR="00E50002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sugerindo-se, quando possível, a apresentação da cientificação do pai registral</w:t>
      </w:r>
      <w:r w:rsidR="005D7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independentemente d</w:t>
      </w:r>
      <w:r w:rsidR="00D40F80" w:rsidRPr="00E5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idade do registrado.  </w:t>
      </w:r>
    </w:p>
    <w:p w14:paraId="139A1C19" w14:textId="77777777"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34A574" w14:textId="77777777" w:rsidR="004D5A78" w:rsidRPr="00E50002" w:rsidRDefault="004D5A78" w:rsidP="004D5A7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9.1: </w:t>
      </w:r>
      <w:r w:rsidRPr="004D5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exclusão do pai registral somente é possível mediante decisão judicial específica.</w:t>
      </w:r>
    </w:p>
    <w:p w14:paraId="70BC19B8" w14:textId="77777777" w:rsidR="004D5A78" w:rsidRDefault="004D5A78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B33AC17" w14:textId="77777777"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 w:rsidR="004D5A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cientificação do pai registral poderá ser demonstrada: 1) por comparecimento pessoal no cartório; 2) por mandatário com procuração específica, por instrumento público ou firma reconhecida ou assinatura digital; 3) por declaração específica, por instrumento público ou firma reconhecida ou assinatura digital; 5) por notificação feita por correio ou por oficial de título e documentos.</w:t>
      </w:r>
    </w:p>
    <w:p w14:paraId="085DDF20" w14:textId="77777777"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459057" w14:textId="77777777"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</w:t>
      </w:r>
      <w:r w:rsidR="004D5A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="005D71AC" w:rsidRPr="005D71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Estando o pai registral em local incerto e não sabido, deverá ser colhida decl</w:t>
      </w:r>
      <w:r w:rsidR="005D71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aração nesse sentido de duas test</w:t>
      </w:r>
      <w:r w:rsidR="005D71AC" w:rsidRPr="005D71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emunhas.</w:t>
      </w:r>
    </w:p>
    <w:p w14:paraId="4BBF188B" w14:textId="77777777"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D1D7C83" w14:textId="77777777" w:rsidR="00E50002" w:rsidRDefault="00E50002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9.</w:t>
      </w:r>
      <w:r w:rsidR="004D5A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 o pai registral for </w:t>
      </w:r>
      <w:r w:rsidR="005D71AC"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falecido basta</w:t>
      </w:r>
      <w:r w:rsidRPr="00E500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a respectiva certidão de óbito. </w:t>
      </w:r>
    </w:p>
    <w:p w14:paraId="6F3E9CA2" w14:textId="77777777" w:rsidR="004D5A78" w:rsidRDefault="004D5A78" w:rsidP="00B0772C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00BD42F" w14:textId="77777777" w:rsidR="00071C57" w:rsidRPr="00426541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0941" w:rsidRPr="00460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RE 898.060 foi fixado pelo STF, em repercussão geral, que: “A paternidade socioafetiva, declarada ou não em registro público, não impede o reconhecimento do vínculo de filiação concomitante baseado na origem biológica, com os efeitos jurídicos próprios”. </w:t>
      </w:r>
    </w:p>
    <w:p w14:paraId="70D7E71D" w14:textId="77777777" w:rsidR="005F79C8" w:rsidRDefault="004D5A78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10:</w:t>
      </w:r>
      <w:r w:rsidRPr="004D5A78">
        <w:t xml:space="preserve"> </w:t>
      </w:r>
      <w:r w:rsidRPr="004D5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reconhecimento de filho poderá ser feito por procuração com poderes especiais, outorgados por instrumento particular com firma reconhecida ou por instrumento público. </w:t>
      </w:r>
    </w:p>
    <w:p w14:paraId="25CA2DC9" w14:textId="77777777"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Arts.534 e 547, I do Provimento 93/CGJ/2020.</w:t>
      </w:r>
    </w:p>
    <w:p w14:paraId="584B4160" w14:textId="77777777"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17D30B" w14:textId="77777777"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10.1: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</w:t>
      </w:r>
      <w:r w:rsidRPr="000027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reconhecimento preceder o nascimento do filho, deverá a procuração indicar o nome e a qualificação da mãe, a data provável do nascimento e o nome que o filho receberá.</w:t>
      </w:r>
    </w:p>
    <w:p w14:paraId="5F083EA9" w14:textId="77777777"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Fundamentação</w:t>
      </w:r>
      <w:r w:rsidRPr="00B0772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Art.1.609 parágrafo único CC/02. </w:t>
      </w:r>
    </w:p>
    <w:p w14:paraId="5A58C84A" w14:textId="77777777" w:rsidR="000027E7" w:rsidRDefault="000027E7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89221" w14:textId="77777777" w:rsidR="000027E7" w:rsidRPr="004D5A78" w:rsidRDefault="002F6D9D" w:rsidP="004D5A78">
      <w:pPr>
        <w:spacing w:after="0" w:line="30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0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ENUNCIADO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10.2: </w:t>
      </w:r>
      <w:r w:rsidRPr="002F6D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o reconhecimento for posterior ao nascimento, basta indicar na procuração os dados do registro da criança.</w:t>
      </w:r>
    </w:p>
    <w:p w14:paraId="32DACE43" w14:textId="77777777" w:rsidR="00B0772C" w:rsidRDefault="00B0772C" w:rsidP="00460941">
      <w:pPr>
        <w:spacing w:after="30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E82D5E" w14:textId="1E518A78" w:rsidR="00B0772C" w:rsidRPr="00460941" w:rsidRDefault="00B0772C" w:rsidP="00595F83">
      <w:pPr>
        <w:jc w:val="both"/>
      </w:pPr>
      <w:r w:rsidRPr="00864427">
        <w:rPr>
          <w:rFonts w:ascii="Times New Roman" w:hAnsi="Times New Roman" w:cs="Times New Roman"/>
          <w:b/>
          <w:i/>
          <w:sz w:val="24"/>
          <w:szCs w:val="24"/>
        </w:rPr>
        <w:t xml:space="preserve">Entendimento firmado a partir do dia </w:t>
      </w:r>
      <w:r w:rsidR="002F6D9D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>/11/202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64427">
        <w:rPr>
          <w:rFonts w:ascii="Times New Roman" w:hAnsi="Times New Roman" w:cs="Times New Roman"/>
          <w:b/>
          <w:i/>
          <w:sz w:val="24"/>
          <w:szCs w:val="24"/>
        </w:rPr>
        <w:t xml:space="preserve"> pela Comissão de Enunciados.</w:t>
      </w:r>
    </w:p>
    <w:sectPr w:rsidR="00B0772C" w:rsidRPr="00460941" w:rsidSect="00460941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A84F" w14:textId="77777777" w:rsidR="00F74101" w:rsidRDefault="00F74101" w:rsidP="00460941">
      <w:pPr>
        <w:spacing w:after="0" w:line="240" w:lineRule="auto"/>
      </w:pPr>
      <w:r>
        <w:separator/>
      </w:r>
    </w:p>
  </w:endnote>
  <w:endnote w:type="continuationSeparator" w:id="0">
    <w:p w14:paraId="07F0B2F8" w14:textId="77777777" w:rsidR="00F74101" w:rsidRDefault="00F74101" w:rsidP="004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75DE" w14:textId="77777777" w:rsidR="00F74101" w:rsidRDefault="00F74101" w:rsidP="00460941">
      <w:pPr>
        <w:spacing w:after="0" w:line="240" w:lineRule="auto"/>
      </w:pPr>
      <w:r>
        <w:separator/>
      </w:r>
    </w:p>
  </w:footnote>
  <w:footnote w:type="continuationSeparator" w:id="0">
    <w:p w14:paraId="3D79599A" w14:textId="77777777" w:rsidR="00F74101" w:rsidRDefault="00F74101" w:rsidP="0046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4E9D" w14:textId="77777777" w:rsidR="002F6D9D" w:rsidRDefault="002F6D9D" w:rsidP="00460941">
    <w:pPr>
      <w:pStyle w:val="Cabealho"/>
    </w:pPr>
    <w:r>
      <w:rPr>
        <w:noProof/>
        <w:lang w:eastAsia="pt-BR"/>
      </w:rPr>
      <w:drawing>
        <wp:anchor distT="360045" distB="0" distL="36195" distR="36195" simplePos="0" relativeHeight="251659264" behindDoc="0" locked="0" layoutInCell="1" allowOverlap="1" wp14:anchorId="3C5162FD" wp14:editId="194F6159">
          <wp:simplePos x="0" y="0"/>
          <wp:positionH relativeFrom="column">
            <wp:posOffset>3435985</wp:posOffset>
          </wp:positionH>
          <wp:positionV relativeFrom="paragraph">
            <wp:posOffset>184785</wp:posOffset>
          </wp:positionV>
          <wp:extent cx="2043430" cy="574040"/>
          <wp:effectExtent l="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  <w:lang w:eastAsia="pt-BR"/>
      </w:rPr>
      <w:drawing>
        <wp:inline distT="0" distB="0" distL="0" distR="0" wp14:anchorId="15565A38" wp14:editId="2CCFC361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4A6FE" w14:textId="77777777" w:rsidR="002F6D9D" w:rsidRDefault="002F6D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41"/>
    <w:rsid w:val="00001F0A"/>
    <w:rsid w:val="000027E7"/>
    <w:rsid w:val="000232DD"/>
    <w:rsid w:val="0002488E"/>
    <w:rsid w:val="00025436"/>
    <w:rsid w:val="00071C57"/>
    <w:rsid w:val="00073EDD"/>
    <w:rsid w:val="001F3531"/>
    <w:rsid w:val="002F6D9D"/>
    <w:rsid w:val="00371439"/>
    <w:rsid w:val="00381D0F"/>
    <w:rsid w:val="003B1636"/>
    <w:rsid w:val="00426541"/>
    <w:rsid w:val="00456A16"/>
    <w:rsid w:val="00460941"/>
    <w:rsid w:val="004702FD"/>
    <w:rsid w:val="004D5A78"/>
    <w:rsid w:val="005361FD"/>
    <w:rsid w:val="005955C5"/>
    <w:rsid w:val="00595F83"/>
    <w:rsid w:val="005D71AC"/>
    <w:rsid w:val="005F79C8"/>
    <w:rsid w:val="00673FCB"/>
    <w:rsid w:val="0068430F"/>
    <w:rsid w:val="007D2D63"/>
    <w:rsid w:val="00846F98"/>
    <w:rsid w:val="008E3FA9"/>
    <w:rsid w:val="00913335"/>
    <w:rsid w:val="00921783"/>
    <w:rsid w:val="009B591F"/>
    <w:rsid w:val="009F5238"/>
    <w:rsid w:val="00B0772C"/>
    <w:rsid w:val="00B16685"/>
    <w:rsid w:val="00B507A6"/>
    <w:rsid w:val="00CF2495"/>
    <w:rsid w:val="00D222DB"/>
    <w:rsid w:val="00D40F80"/>
    <w:rsid w:val="00DE1AD4"/>
    <w:rsid w:val="00E12A9A"/>
    <w:rsid w:val="00E50002"/>
    <w:rsid w:val="00E9552E"/>
    <w:rsid w:val="00F72C61"/>
    <w:rsid w:val="00F74101"/>
    <w:rsid w:val="00FD4B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07A2A"/>
  <w15:docId w15:val="{BE038ABE-70E0-4A57-866E-931A3E2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41"/>
  </w:style>
  <w:style w:type="paragraph" w:styleId="Ttulo1">
    <w:name w:val="heading 1"/>
    <w:basedOn w:val="Normal"/>
    <w:link w:val="Ttulo1Char"/>
    <w:uiPriority w:val="9"/>
    <w:qFormat/>
    <w:rsid w:val="0091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941"/>
  </w:style>
  <w:style w:type="paragraph" w:styleId="Rodap">
    <w:name w:val="footer"/>
    <w:basedOn w:val="Normal"/>
    <w:link w:val="RodapChar"/>
    <w:uiPriority w:val="99"/>
    <w:unhideWhenUsed/>
    <w:rsid w:val="0046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941"/>
  </w:style>
  <w:style w:type="paragraph" w:styleId="Textodebalo">
    <w:name w:val="Balloon Text"/>
    <w:basedOn w:val="Normal"/>
    <w:link w:val="TextodebaloChar"/>
    <w:uiPriority w:val="99"/>
    <w:semiHidden/>
    <w:unhideWhenUsed/>
    <w:rsid w:val="0046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0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0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9133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913335"/>
  </w:style>
  <w:style w:type="character" w:customStyle="1" w:styleId="author">
    <w:name w:val="author"/>
    <w:basedOn w:val="Fontepargpadro"/>
    <w:rsid w:val="00913335"/>
  </w:style>
  <w:style w:type="character" w:styleId="Hyperlink">
    <w:name w:val="Hyperlink"/>
    <w:basedOn w:val="Fontepargpadro"/>
    <w:uiPriority w:val="99"/>
    <w:semiHidden/>
    <w:unhideWhenUsed/>
    <w:rsid w:val="00913335"/>
    <w:rPr>
      <w:color w:val="0000FF"/>
      <w:u w:val="single"/>
    </w:rPr>
  </w:style>
  <w:style w:type="character" w:customStyle="1" w:styleId="a-color-secondary">
    <w:name w:val="a-color-secondary"/>
    <w:basedOn w:val="Fontepargpadro"/>
    <w:rsid w:val="00913335"/>
  </w:style>
  <w:style w:type="character" w:customStyle="1" w:styleId="il">
    <w:name w:val="il"/>
    <w:basedOn w:val="Fontepargpadro"/>
    <w:rsid w:val="00FD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.br/s/ref=dp_byline_sr_ebooks_2?ie=UTF8&amp;field-author=Marcelo+Salaroli+de+Oliveira&amp;text=Marcelo+Salaroli+de+Oliveira&amp;sort=relevancerank&amp;search-alias=digital-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.br/s/ref=dp_byline_sr_ebooks_1?ie=UTF8&amp;field-author=Mario+Carvalho+Camargo+de+Neto&amp;text=Mario+Carvalho+Camargo+de+Neto&amp;sort=relevancerank&amp;search-alias=digital-tex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Gabi Celano</cp:lastModifiedBy>
  <cp:revision>2</cp:revision>
  <cp:lastPrinted>2022-11-09T14:17:00Z</cp:lastPrinted>
  <dcterms:created xsi:type="dcterms:W3CDTF">2022-11-22T09:39:00Z</dcterms:created>
  <dcterms:modified xsi:type="dcterms:W3CDTF">2022-11-22T09:39:00Z</dcterms:modified>
</cp:coreProperties>
</file>